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Pr="00033ED8" w:rsidRDefault="007A7E7F" w:rsidP="003A2790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103" w:right="708"/>
        <w:rPr>
          <w:b/>
          <w:caps/>
          <w:vanish/>
          <w:sz w:val="28"/>
          <w:szCs w:val="28"/>
        </w:rPr>
      </w:pPr>
      <w:bookmarkStart w:id="0" w:name="Zusatz"/>
      <w:bookmarkEnd w:id="0"/>
      <w:r w:rsidRPr="00033ED8">
        <w:rPr>
          <w:b/>
          <w:caps/>
          <w:vanish/>
          <w:sz w:val="28"/>
          <w:szCs w:val="28"/>
        </w:rPr>
        <w:t>Entwurf</w:t>
      </w:r>
    </w:p>
    <w:p w:rsidR="00B86855" w:rsidRPr="005A416A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r w:rsidRPr="005A416A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5A416A">
        <w:rPr>
          <w:rFonts w:ascii="Arial" w:hAnsi="Arial" w:cs="Arial"/>
          <w:vanish/>
          <w:sz w:val="12"/>
          <w:szCs w:val="12"/>
        </w:rPr>
        <w:fldChar w:fldCharType="begin"/>
      </w:r>
      <w:r w:rsidRPr="005A416A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5A416A">
        <w:rPr>
          <w:rFonts w:ascii="Arial" w:hAnsi="Arial" w:cs="Arial"/>
          <w:vanish/>
          <w:sz w:val="12"/>
          <w:szCs w:val="12"/>
        </w:rPr>
        <w:fldChar w:fldCharType="separate"/>
      </w:r>
      <w:r w:rsidR="00E1594E">
        <w:rPr>
          <w:rFonts w:ascii="Arial" w:hAnsi="Arial" w:cs="Arial"/>
          <w:noProof/>
          <w:vanish/>
          <w:sz w:val="12"/>
          <w:szCs w:val="12"/>
        </w:rPr>
        <w:t>Dokument5</w:t>
      </w:r>
      <w:r w:rsidRPr="005A416A">
        <w:rPr>
          <w:rFonts w:ascii="Arial" w:hAnsi="Arial" w:cs="Arial"/>
          <w:vanish/>
          <w:sz w:val="12"/>
          <w:szCs w:val="12"/>
        </w:rPr>
        <w:fldChar w:fldCharType="end"/>
      </w:r>
    </w:p>
    <w:p w:rsidR="00E957F1" w:rsidRDefault="00E957F1" w:rsidP="00E957F1">
      <w:bookmarkStart w:id="1" w:name="Betreff"/>
    </w:p>
    <w:p w:rsidR="00724C33" w:rsidRPr="001219C1" w:rsidRDefault="00724C33" w:rsidP="00E957F1">
      <w:pPr>
        <w:rPr>
          <w:b/>
        </w:rPr>
      </w:pPr>
    </w:p>
    <w:p w:rsidR="00135FC4" w:rsidRPr="005A416A" w:rsidRDefault="00135FC4" w:rsidP="00135FC4">
      <w:pPr>
        <w:framePr w:w="755" w:hSpace="142" w:wrap="auto" w:vAnchor="page" w:hAnchor="page" w:x="1" w:y="5730"/>
        <w:pBdr>
          <w:top w:val="single" w:sz="6" w:space="1" w:color="auto"/>
        </w:pBdr>
      </w:pPr>
      <w:r w:rsidRPr="005A416A">
        <w:t>       </w:t>
      </w:r>
    </w:p>
    <w:bookmarkEnd w:id="1"/>
    <w:p w:rsidR="00326DBE" w:rsidRPr="005A416A" w:rsidRDefault="00326DBE" w:rsidP="00E957F1">
      <w:pPr>
        <w:pStyle w:val="berschrift1"/>
        <w:rPr>
          <w:rStyle w:val="Fett"/>
          <w:b/>
          <w:bCs/>
        </w:rPr>
      </w:pPr>
    </w:p>
    <w:p w:rsidR="00326DBE" w:rsidRPr="005A416A" w:rsidRDefault="00326DBE" w:rsidP="00AC1B03">
      <w:pPr>
        <w:spacing w:line="240" w:lineRule="auto"/>
      </w:pPr>
    </w:p>
    <w:tbl>
      <w:tblPr>
        <w:tblpPr w:leftFromText="141" w:rightFromText="141" w:vertAnchor="page" w:horzAnchor="margin" w:tblpX="-426" w:tblpY="2662"/>
        <w:tblW w:w="9713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283"/>
        <w:gridCol w:w="4253"/>
      </w:tblGrid>
      <w:tr w:rsidR="00BA6490" w:rsidRPr="006B7207" w:rsidTr="00BA6490">
        <w:trPr>
          <w:trHeight w:val="86"/>
        </w:trPr>
        <w:tc>
          <w:tcPr>
            <w:tcW w:w="357" w:type="dxa"/>
            <w:vAlign w:val="bottom"/>
          </w:tcPr>
          <w:p w:rsidR="00BA6490" w:rsidRPr="006B7207" w:rsidRDefault="00BA6490" w:rsidP="00BA6490">
            <w:pPr>
              <w:pStyle w:val="Leiste"/>
              <w:framePr w:w="0" w:hRule="auto" w:hSpace="0" w:wrap="auto" w:vAnchor="margin" w:hAnchor="text" w:xAlign="left" w:yAlign="inline"/>
              <w:widowControl/>
              <w:spacing w:line="240" w:lineRule="auto"/>
              <w:ind w:left="-889" w:firstLine="426"/>
            </w:pPr>
          </w:p>
        </w:tc>
        <w:tc>
          <w:tcPr>
            <w:tcW w:w="4820" w:type="dxa"/>
          </w:tcPr>
          <w:p w:rsidR="00BA6490" w:rsidRPr="00C37586" w:rsidRDefault="00BA6490" w:rsidP="00BA6490">
            <w:pPr>
              <w:pStyle w:val="PFCI"/>
              <w:spacing w:after="240" w:line="240" w:lineRule="auto"/>
              <w:rPr>
                <w:color w:val="auto"/>
              </w:rPr>
            </w:pPr>
            <w:r w:rsidRPr="00C37586">
              <w:rPr>
                <w:color w:val="auto"/>
              </w:rPr>
              <w:t xml:space="preserve">Hessische Lehrkräfteakademie </w:t>
            </w:r>
            <w:r w:rsidRPr="00C37586">
              <w:rPr>
                <w:color w:val="auto"/>
              </w:rPr>
              <w:br/>
            </w:r>
            <w:r w:rsidRPr="00E1594E">
              <w:rPr>
                <w:color w:val="auto"/>
              </w:rPr>
              <w:t>Stuttgarter Straße 18-24 • 60329 Frankfurt am Main</w:t>
            </w:r>
          </w:p>
        </w:tc>
        <w:tc>
          <w:tcPr>
            <w:tcW w:w="283" w:type="dxa"/>
          </w:tcPr>
          <w:p w:rsidR="00BA6490" w:rsidRPr="006B7207" w:rsidRDefault="00BA6490" w:rsidP="00BA6490">
            <w:pPr>
              <w:pStyle w:val="PFCI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vMerge w:val="restart"/>
          </w:tcPr>
          <w:p w:rsidR="00BA6490" w:rsidRPr="00C37586" w:rsidRDefault="00BA6490" w:rsidP="00BA6490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</w:rPr>
            </w:pPr>
            <w:r w:rsidRPr="00C37586">
              <w:rPr>
                <w:color w:val="auto"/>
              </w:rPr>
              <w:t>Arbeitsbereich</w:t>
            </w:r>
            <w:r w:rsidRPr="00C37586">
              <w:rPr>
                <w:color w:val="auto"/>
              </w:rPr>
              <w:tab/>
            </w:r>
            <w:r w:rsidRPr="00E1594E">
              <w:rPr>
                <w:color w:val="auto"/>
              </w:rPr>
              <w:t>Dezernat Z.1 – Personal und Recht</w:t>
            </w:r>
          </w:p>
          <w:p w:rsidR="00BA6490" w:rsidRPr="00C37586" w:rsidRDefault="00BA6490" w:rsidP="002A70FC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</w:rPr>
            </w:pPr>
            <w:r w:rsidRPr="00C37586">
              <w:rPr>
                <w:color w:val="auto"/>
              </w:rPr>
              <w:t>Aktenzeichen</w:t>
            </w:r>
            <w:r w:rsidRPr="00C37586">
              <w:rPr>
                <w:color w:val="auto"/>
              </w:rPr>
              <w:tab/>
            </w:r>
            <w:bookmarkStart w:id="2" w:name="Aktenzeichen"/>
            <w:bookmarkEnd w:id="2"/>
            <w:r w:rsidR="00BB4877">
              <w:rPr>
                <w:color w:val="auto"/>
              </w:rPr>
              <w:t>Z.1-3-Se</w:t>
            </w:r>
          </w:p>
          <w:p w:rsidR="00BA6490" w:rsidRPr="00E1594E" w:rsidRDefault="00BA6490" w:rsidP="00BA649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bookmarkStart w:id="3" w:name="DocNr"/>
            <w:bookmarkStart w:id="4" w:name="Aktenzeichen2"/>
            <w:bookmarkEnd w:id="3"/>
            <w:bookmarkEnd w:id="4"/>
            <w:r w:rsidRPr="00E1594E">
              <w:rPr>
                <w:color w:val="auto"/>
              </w:rPr>
              <w:t>Bearbeiter</w:t>
            </w:r>
            <w:r w:rsidRPr="00E1594E">
              <w:rPr>
                <w:color w:val="auto"/>
              </w:rPr>
              <w:tab/>
              <w:t xml:space="preserve">Steffen Seinsche </w:t>
            </w:r>
          </w:p>
          <w:p w:rsidR="00BA6490" w:rsidRPr="00E1594E" w:rsidRDefault="00BA6490" w:rsidP="00BA649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1594E">
              <w:rPr>
                <w:color w:val="auto"/>
              </w:rPr>
              <w:t>Durchwahl</w:t>
            </w:r>
            <w:r w:rsidRPr="00E1594E">
              <w:rPr>
                <w:color w:val="auto"/>
              </w:rPr>
              <w:tab/>
              <w:t>069 38989-332</w:t>
            </w:r>
          </w:p>
          <w:p w:rsidR="00BA6490" w:rsidRPr="00E1594E" w:rsidRDefault="00BA6490" w:rsidP="00BA649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1594E">
              <w:rPr>
                <w:color w:val="auto"/>
              </w:rPr>
              <w:t xml:space="preserve">Fax </w:t>
            </w:r>
            <w:r w:rsidRPr="00E1594E">
              <w:rPr>
                <w:color w:val="auto"/>
              </w:rPr>
              <w:tab/>
              <w:t>069 38989-233</w:t>
            </w:r>
          </w:p>
          <w:p w:rsidR="00BA6490" w:rsidRPr="00E1594E" w:rsidRDefault="00BA6490" w:rsidP="00BA649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1594E">
              <w:rPr>
                <w:color w:val="auto"/>
              </w:rPr>
              <w:t xml:space="preserve">E-Mail </w:t>
            </w:r>
            <w:r w:rsidRPr="00E1594E">
              <w:rPr>
                <w:color w:val="auto"/>
              </w:rPr>
              <w:tab/>
              <w:t>Steffen.Seinsche@kultus.hessen.de</w:t>
            </w:r>
          </w:p>
          <w:p w:rsidR="00BA6490" w:rsidRPr="00E1594E" w:rsidRDefault="00BA6490" w:rsidP="00BA649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BA6490" w:rsidRPr="00E1594E" w:rsidRDefault="00BA6490" w:rsidP="00BA649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1594E">
              <w:rPr>
                <w:color w:val="auto"/>
              </w:rPr>
              <w:t>Ihr Zeichen</w:t>
            </w:r>
            <w:r w:rsidRPr="00E1594E">
              <w:rPr>
                <w:color w:val="auto"/>
              </w:rPr>
              <w:tab/>
            </w:r>
          </w:p>
          <w:p w:rsidR="00BA6490" w:rsidRDefault="00BA6490" w:rsidP="00BA649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1594E">
              <w:rPr>
                <w:color w:val="auto"/>
              </w:rPr>
              <w:t>Ihre Nachricht</w:t>
            </w:r>
            <w:r w:rsidRPr="00E1594E">
              <w:rPr>
                <w:color w:val="auto"/>
              </w:rPr>
              <w:tab/>
            </w:r>
          </w:p>
          <w:p w:rsidR="008D5346" w:rsidRPr="00E1594E" w:rsidRDefault="008D5346" w:rsidP="00BA649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BA6490" w:rsidRPr="00E1594E" w:rsidRDefault="00BA6490" w:rsidP="00BA649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1594E">
              <w:rPr>
                <w:color w:val="auto"/>
              </w:rPr>
              <w:t>Datum</w:t>
            </w:r>
            <w:r w:rsidRPr="00E1594E">
              <w:rPr>
                <w:color w:val="auto"/>
              </w:rPr>
              <w:tab/>
            </w:r>
            <w:r w:rsidR="00300D1C">
              <w:rPr>
                <w:color w:val="auto"/>
              </w:rPr>
              <w:t>30.06.2020</w:t>
            </w:r>
          </w:p>
          <w:p w:rsidR="00BA6490" w:rsidRPr="00E1594E" w:rsidRDefault="00BA6490" w:rsidP="00BA649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BA6490" w:rsidRPr="006B7207" w:rsidRDefault="00BA6490" w:rsidP="00BA649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b/>
                <w:vanish/>
                <w:color w:val="auto"/>
                <w:sz w:val="14"/>
                <w:szCs w:val="16"/>
              </w:rPr>
            </w:pPr>
          </w:p>
        </w:tc>
      </w:tr>
      <w:tr w:rsidR="00BA6490" w:rsidRPr="006B7207" w:rsidTr="00BA6490">
        <w:trPr>
          <w:trHeight w:val="1705"/>
          <w:hidden/>
        </w:trPr>
        <w:tc>
          <w:tcPr>
            <w:tcW w:w="357" w:type="dxa"/>
          </w:tcPr>
          <w:p w:rsidR="00BA6490" w:rsidRPr="006B7207" w:rsidRDefault="00BA6490" w:rsidP="00BA6490">
            <w:pPr>
              <w:pStyle w:val="Leiste"/>
              <w:framePr w:w="0" w:hRule="auto" w:hSpace="0" w:wrap="auto" w:vAnchor="margin" w:hAnchor="text" w:xAlign="left" w:yAlign="inline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" w:name="VfgTextNr"/>
            <w:r w:rsidRPr="006B7207">
              <w:rPr>
                <w:rFonts w:ascii="Times New Roman" w:hAnsi="Times New Roman"/>
                <w:vanish/>
                <w:sz w:val="24"/>
                <w:szCs w:val="24"/>
              </w:rPr>
              <w:t>1.</w:t>
            </w:r>
            <w:bookmarkEnd w:id="5"/>
          </w:p>
        </w:tc>
        <w:tc>
          <w:tcPr>
            <w:tcW w:w="4820" w:type="dxa"/>
          </w:tcPr>
          <w:p w:rsidR="008D5346" w:rsidRPr="006B7207" w:rsidRDefault="008D5346" w:rsidP="002A70FC">
            <w:bookmarkStart w:id="6" w:name="Adresse"/>
            <w:bookmarkEnd w:id="6"/>
          </w:p>
        </w:tc>
        <w:tc>
          <w:tcPr>
            <w:tcW w:w="283" w:type="dxa"/>
          </w:tcPr>
          <w:p w:rsidR="00BA6490" w:rsidRPr="006B7207" w:rsidRDefault="00BA6490" w:rsidP="00BA649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  <w:tc>
          <w:tcPr>
            <w:tcW w:w="4253" w:type="dxa"/>
            <w:vMerge/>
          </w:tcPr>
          <w:p w:rsidR="00BA6490" w:rsidRPr="006B7207" w:rsidRDefault="00BA6490" w:rsidP="00BA649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992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</w:tr>
    </w:tbl>
    <w:p w:rsidR="003027E3" w:rsidRPr="00AE3858" w:rsidRDefault="003027E3" w:rsidP="00BA5E06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3027E3" w:rsidRPr="00AE3858" w:rsidRDefault="003027E3" w:rsidP="00BA5E06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3027E3" w:rsidRDefault="003027E3" w:rsidP="00BA5E06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BA5E06" w:rsidRDefault="003A16F9" w:rsidP="003A16F9">
      <w:pPr>
        <w:spacing w:line="276" w:lineRule="auto"/>
        <w:jc w:val="both"/>
        <w:rPr>
          <w:rStyle w:val="Fett"/>
          <w:rFonts w:ascii="Arial" w:hAnsi="Arial" w:cs="Arial"/>
        </w:rPr>
      </w:pPr>
      <w:r w:rsidRPr="003A16F9">
        <w:rPr>
          <w:rStyle w:val="Fett"/>
          <w:rFonts w:ascii="Arial" w:hAnsi="Arial" w:cs="Arial"/>
        </w:rPr>
        <w:t>Gesetz zur Anpassung des Hessischen Schulgesetzes und weiterer Vorschriften</w:t>
      </w:r>
      <w:r>
        <w:rPr>
          <w:rStyle w:val="Fett"/>
          <w:rFonts w:ascii="Arial" w:hAnsi="Arial" w:cs="Arial"/>
        </w:rPr>
        <w:t xml:space="preserve"> </w:t>
      </w:r>
      <w:r w:rsidRPr="003A16F9">
        <w:rPr>
          <w:rStyle w:val="Fett"/>
          <w:rFonts w:ascii="Arial" w:hAnsi="Arial" w:cs="Arial"/>
        </w:rPr>
        <w:t>an die Maßnahmen zur Bekämpfung des Corona-Virus, GVBl 2020, 402</w:t>
      </w:r>
    </w:p>
    <w:p w:rsidR="003A16F9" w:rsidRDefault="003A16F9" w:rsidP="003A16F9">
      <w:pPr>
        <w:spacing w:line="276" w:lineRule="auto"/>
        <w:jc w:val="both"/>
        <w:rPr>
          <w:rStyle w:val="Fett"/>
          <w:rFonts w:ascii="Arial" w:hAnsi="Arial" w:cs="Arial"/>
        </w:rPr>
      </w:pPr>
    </w:p>
    <w:p w:rsidR="003A16F9" w:rsidRDefault="003A16F9" w:rsidP="003A16F9">
      <w:pPr>
        <w:spacing w:line="276" w:lineRule="auto"/>
        <w:jc w:val="both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Hier: HLbGDV-Änderungen, die Zweite Phase betreffend</w:t>
      </w:r>
    </w:p>
    <w:p w:rsidR="003A16F9" w:rsidRDefault="003A16F9" w:rsidP="003A16F9">
      <w:pPr>
        <w:spacing w:line="276" w:lineRule="auto"/>
        <w:jc w:val="both"/>
        <w:rPr>
          <w:rStyle w:val="Fett"/>
          <w:rFonts w:ascii="Arial" w:hAnsi="Arial" w:cs="Arial"/>
        </w:rPr>
      </w:pPr>
    </w:p>
    <w:p w:rsidR="003A16F9" w:rsidRDefault="003A16F9" w:rsidP="003A16F9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F53BE7" w:rsidRDefault="00F53BE7" w:rsidP="003A16F9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Folgenden Änderungen wurden vorgenommen:</w:t>
      </w:r>
    </w:p>
    <w:p w:rsidR="00F53BE7" w:rsidRDefault="00F53BE7" w:rsidP="003A16F9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3A16F9" w:rsidRPr="00F53BE7" w:rsidRDefault="003A16F9" w:rsidP="00F53BE7">
      <w:pPr>
        <w:pStyle w:val="Listenabsatz"/>
        <w:numPr>
          <w:ilvl w:val="0"/>
          <w:numId w:val="7"/>
        </w:numPr>
        <w:spacing w:line="276" w:lineRule="auto"/>
        <w:ind w:left="426" w:hanging="426"/>
        <w:jc w:val="both"/>
        <w:rPr>
          <w:rStyle w:val="Fett"/>
          <w:rFonts w:ascii="Arial" w:hAnsi="Arial" w:cs="Arial"/>
          <w:b w:val="0"/>
        </w:rPr>
      </w:pPr>
      <w:r w:rsidRPr="00F53BE7">
        <w:rPr>
          <w:rStyle w:val="Fett"/>
          <w:rFonts w:ascii="Arial" w:hAnsi="Arial" w:cs="Arial"/>
          <w:b w:val="0"/>
        </w:rPr>
        <w:t>In der Inhaltsübersicht wird die Angabe</w:t>
      </w:r>
      <w:r w:rsidR="00F53BE7" w:rsidRPr="00F53BE7">
        <w:rPr>
          <w:rStyle w:val="Fett"/>
          <w:rFonts w:ascii="Arial" w:hAnsi="Arial" w:cs="Arial"/>
          <w:b w:val="0"/>
        </w:rPr>
        <w:t xml:space="preserve"> </w:t>
      </w:r>
      <w:r w:rsidRPr="00F53BE7">
        <w:rPr>
          <w:rStyle w:val="Fett"/>
          <w:rFonts w:ascii="Arial" w:hAnsi="Arial" w:cs="Arial"/>
          <w:b w:val="0"/>
        </w:rPr>
        <w:t>zu § 86 wie folgt gefasst:</w:t>
      </w:r>
    </w:p>
    <w:p w:rsidR="00564E3D" w:rsidRDefault="00564E3D" w:rsidP="00F53BE7">
      <w:pPr>
        <w:spacing w:line="276" w:lineRule="auto"/>
        <w:ind w:firstLine="426"/>
        <w:jc w:val="both"/>
        <w:rPr>
          <w:rStyle w:val="Fett"/>
          <w:rFonts w:ascii="Arial" w:hAnsi="Arial" w:cs="Arial"/>
          <w:b w:val="0"/>
        </w:rPr>
      </w:pPr>
    </w:p>
    <w:p w:rsidR="003A16F9" w:rsidRDefault="003A16F9" w:rsidP="00F53BE7">
      <w:pPr>
        <w:spacing w:line="276" w:lineRule="auto"/>
        <w:ind w:firstLine="426"/>
        <w:jc w:val="both"/>
        <w:rPr>
          <w:rStyle w:val="Fett"/>
          <w:rFonts w:ascii="Arial" w:hAnsi="Arial" w:cs="Arial"/>
          <w:b w:val="0"/>
        </w:rPr>
      </w:pPr>
      <w:r w:rsidRPr="003A16F9">
        <w:rPr>
          <w:rStyle w:val="Fett"/>
          <w:rFonts w:ascii="Arial" w:hAnsi="Arial" w:cs="Arial"/>
          <w:b w:val="0"/>
        </w:rPr>
        <w:t>„§ 86 Inkrafttreten, Außerkrafttreten“</w:t>
      </w:r>
    </w:p>
    <w:p w:rsidR="00F53BE7" w:rsidRPr="003A16F9" w:rsidRDefault="00F53BE7" w:rsidP="00F53BE7">
      <w:pPr>
        <w:spacing w:line="276" w:lineRule="auto"/>
        <w:ind w:firstLine="426"/>
        <w:jc w:val="both"/>
        <w:rPr>
          <w:rStyle w:val="Fett"/>
          <w:rFonts w:ascii="Arial" w:hAnsi="Arial" w:cs="Arial"/>
          <w:b w:val="0"/>
        </w:rPr>
      </w:pPr>
    </w:p>
    <w:p w:rsidR="003A16F9" w:rsidRPr="00F53BE7" w:rsidRDefault="003A16F9" w:rsidP="004413C6">
      <w:pPr>
        <w:pStyle w:val="Listenabsatz"/>
        <w:numPr>
          <w:ilvl w:val="0"/>
          <w:numId w:val="7"/>
        </w:numPr>
        <w:spacing w:line="276" w:lineRule="auto"/>
        <w:ind w:left="426" w:hanging="426"/>
        <w:jc w:val="both"/>
        <w:rPr>
          <w:rStyle w:val="Fett"/>
          <w:rFonts w:ascii="Arial" w:hAnsi="Arial" w:cs="Arial"/>
          <w:b w:val="0"/>
        </w:rPr>
      </w:pPr>
      <w:r w:rsidRPr="00F53BE7">
        <w:rPr>
          <w:rStyle w:val="Fett"/>
          <w:rFonts w:ascii="Arial" w:hAnsi="Arial" w:cs="Arial"/>
          <w:b w:val="0"/>
        </w:rPr>
        <w:t>Dem § 30 Abs. 2 wird folgender Satz</w:t>
      </w:r>
      <w:r w:rsidR="00F53BE7">
        <w:rPr>
          <w:rStyle w:val="Fett"/>
          <w:rFonts w:ascii="Arial" w:hAnsi="Arial" w:cs="Arial"/>
          <w:b w:val="0"/>
        </w:rPr>
        <w:t xml:space="preserve"> </w:t>
      </w:r>
      <w:r w:rsidRPr="00F53BE7">
        <w:rPr>
          <w:rStyle w:val="Fett"/>
          <w:rFonts w:ascii="Arial" w:hAnsi="Arial" w:cs="Arial"/>
          <w:b w:val="0"/>
        </w:rPr>
        <w:t>angefügt:</w:t>
      </w:r>
    </w:p>
    <w:p w:rsidR="00564E3D" w:rsidRDefault="00564E3D" w:rsidP="00F53BE7">
      <w:pPr>
        <w:spacing w:line="276" w:lineRule="auto"/>
        <w:ind w:left="426"/>
        <w:jc w:val="both"/>
        <w:rPr>
          <w:rStyle w:val="Fett"/>
          <w:rFonts w:ascii="Arial" w:hAnsi="Arial" w:cs="Arial"/>
          <w:b w:val="0"/>
        </w:rPr>
      </w:pPr>
    </w:p>
    <w:p w:rsidR="003A16F9" w:rsidRDefault="003A16F9" w:rsidP="00F53BE7">
      <w:pPr>
        <w:spacing w:line="276" w:lineRule="auto"/>
        <w:ind w:left="426"/>
        <w:jc w:val="both"/>
        <w:rPr>
          <w:rStyle w:val="Fett"/>
          <w:rFonts w:ascii="Arial" w:hAnsi="Arial" w:cs="Arial"/>
          <w:b w:val="0"/>
        </w:rPr>
      </w:pPr>
      <w:r w:rsidRPr="003A16F9">
        <w:rPr>
          <w:rStyle w:val="Fett"/>
          <w:rFonts w:ascii="Arial" w:hAnsi="Arial" w:cs="Arial"/>
          <w:b w:val="0"/>
        </w:rPr>
        <w:t>„Soweit ein amtsärztliches Gesundheitszeugnis</w:t>
      </w:r>
      <w:r w:rsidR="00F53BE7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nach Satz 1 Nr. 12 wegen der</w:t>
      </w:r>
      <w:r w:rsidR="00F53BE7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Corona</w:t>
      </w:r>
      <w:r w:rsidR="00F53BE7">
        <w:rPr>
          <w:rStyle w:val="Fett"/>
          <w:rFonts w:ascii="Arial" w:hAnsi="Arial" w:cs="Arial"/>
          <w:b w:val="0"/>
        </w:rPr>
        <w:t>-</w:t>
      </w:r>
      <w:r w:rsidRPr="003A16F9">
        <w:rPr>
          <w:rStyle w:val="Fett"/>
          <w:rFonts w:ascii="Arial" w:hAnsi="Arial" w:cs="Arial"/>
          <w:b w:val="0"/>
        </w:rPr>
        <w:t>Virus</w:t>
      </w:r>
      <w:r w:rsidR="00F53BE7">
        <w:rPr>
          <w:rStyle w:val="Fett"/>
          <w:rFonts w:ascii="Arial" w:hAnsi="Arial" w:cs="Arial"/>
          <w:b w:val="0"/>
        </w:rPr>
        <w:t>-</w:t>
      </w:r>
      <w:r w:rsidRPr="003A16F9">
        <w:rPr>
          <w:rStyle w:val="Fett"/>
          <w:rFonts w:ascii="Arial" w:hAnsi="Arial" w:cs="Arial"/>
          <w:b w:val="0"/>
        </w:rPr>
        <w:t>Pandemie</w:t>
      </w:r>
      <w:r w:rsidR="00F53BE7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nicht vorgelegt</w:t>
      </w:r>
      <w:r w:rsidR="00F53BE7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werden kann, genügt die Vorlage eines</w:t>
      </w:r>
      <w:r w:rsidR="00F53BE7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Gesundheitszeugnisses der von der</w:t>
      </w:r>
      <w:r w:rsidR="00F53BE7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Ausbildungsbehörde benannten Stelle.“</w:t>
      </w:r>
    </w:p>
    <w:p w:rsidR="00F53BE7" w:rsidRPr="003A16F9" w:rsidRDefault="00F53BE7" w:rsidP="003A16F9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3A16F9" w:rsidRDefault="003A16F9" w:rsidP="00564E3D">
      <w:pPr>
        <w:pStyle w:val="Listenabsatz"/>
        <w:numPr>
          <w:ilvl w:val="0"/>
          <w:numId w:val="7"/>
        </w:numPr>
        <w:spacing w:line="276" w:lineRule="auto"/>
        <w:ind w:left="426" w:hanging="426"/>
        <w:jc w:val="both"/>
        <w:rPr>
          <w:rStyle w:val="Fett"/>
          <w:rFonts w:ascii="Arial" w:hAnsi="Arial" w:cs="Arial"/>
          <w:b w:val="0"/>
        </w:rPr>
      </w:pPr>
      <w:r w:rsidRPr="00564E3D">
        <w:rPr>
          <w:rStyle w:val="Fett"/>
          <w:rFonts w:ascii="Arial" w:hAnsi="Arial" w:cs="Arial"/>
          <w:b w:val="0"/>
        </w:rPr>
        <w:t>§ 44 wird wie folgt geändert:</w:t>
      </w:r>
    </w:p>
    <w:p w:rsidR="00564E3D" w:rsidRDefault="00564E3D" w:rsidP="003A16F9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3A16F9" w:rsidRPr="00564E3D" w:rsidRDefault="00564E3D" w:rsidP="00564E3D">
      <w:pPr>
        <w:pStyle w:val="Listenabsatz"/>
        <w:numPr>
          <w:ilvl w:val="0"/>
          <w:numId w:val="8"/>
        </w:numPr>
        <w:spacing w:line="276" w:lineRule="auto"/>
        <w:jc w:val="both"/>
        <w:rPr>
          <w:rStyle w:val="Fett"/>
          <w:rFonts w:ascii="Arial" w:hAnsi="Arial" w:cs="Arial"/>
          <w:b w:val="0"/>
        </w:rPr>
      </w:pPr>
      <w:r w:rsidRPr="00564E3D">
        <w:rPr>
          <w:rStyle w:val="Fett"/>
          <w:rFonts w:ascii="Arial" w:hAnsi="Arial" w:cs="Arial"/>
          <w:b w:val="0"/>
        </w:rPr>
        <w:t>d</w:t>
      </w:r>
      <w:r w:rsidR="003A16F9" w:rsidRPr="00564E3D">
        <w:rPr>
          <w:rStyle w:val="Fett"/>
          <w:rFonts w:ascii="Arial" w:hAnsi="Arial" w:cs="Arial"/>
          <w:b w:val="0"/>
        </w:rPr>
        <w:t>em Abs. 6 wird folgender Satz angefügt:</w:t>
      </w:r>
    </w:p>
    <w:p w:rsidR="00564E3D" w:rsidRDefault="00564E3D" w:rsidP="00564E3D">
      <w:pPr>
        <w:spacing w:line="276" w:lineRule="auto"/>
        <w:ind w:firstLine="708"/>
        <w:jc w:val="both"/>
        <w:rPr>
          <w:rStyle w:val="Fett"/>
          <w:rFonts w:ascii="Arial" w:hAnsi="Arial" w:cs="Arial"/>
          <w:b w:val="0"/>
        </w:rPr>
      </w:pPr>
    </w:p>
    <w:p w:rsidR="003A16F9" w:rsidRPr="003A16F9" w:rsidRDefault="003A16F9" w:rsidP="00564E3D">
      <w:pPr>
        <w:spacing w:line="276" w:lineRule="auto"/>
        <w:ind w:firstLine="708"/>
        <w:jc w:val="both"/>
        <w:rPr>
          <w:rStyle w:val="Fett"/>
          <w:rFonts w:ascii="Arial" w:hAnsi="Arial" w:cs="Arial"/>
          <w:b w:val="0"/>
        </w:rPr>
      </w:pPr>
      <w:r w:rsidRPr="003A16F9">
        <w:rPr>
          <w:rStyle w:val="Fett"/>
          <w:rFonts w:ascii="Arial" w:hAnsi="Arial" w:cs="Arial"/>
          <w:b w:val="0"/>
        </w:rPr>
        <w:t>„Abs. 11 bleibt unberührt.“</w:t>
      </w:r>
    </w:p>
    <w:p w:rsidR="00564E3D" w:rsidRDefault="00564E3D" w:rsidP="003A16F9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3A16F9" w:rsidRPr="00564E3D" w:rsidRDefault="003A16F9" w:rsidP="00564E3D">
      <w:pPr>
        <w:pStyle w:val="Listenabsatz"/>
        <w:numPr>
          <w:ilvl w:val="0"/>
          <w:numId w:val="8"/>
        </w:numPr>
        <w:spacing w:line="276" w:lineRule="auto"/>
        <w:jc w:val="both"/>
        <w:rPr>
          <w:rStyle w:val="Fett"/>
          <w:rFonts w:ascii="Arial" w:hAnsi="Arial" w:cs="Arial"/>
          <w:b w:val="0"/>
        </w:rPr>
      </w:pPr>
      <w:r w:rsidRPr="00564E3D">
        <w:rPr>
          <w:rStyle w:val="Fett"/>
          <w:rFonts w:ascii="Arial" w:hAnsi="Arial" w:cs="Arial"/>
          <w:b w:val="0"/>
        </w:rPr>
        <w:t>Als Abs. 11 wird angefügt:</w:t>
      </w:r>
    </w:p>
    <w:p w:rsidR="00564E3D" w:rsidRDefault="00564E3D" w:rsidP="00564E3D">
      <w:pPr>
        <w:spacing w:line="276" w:lineRule="auto"/>
        <w:ind w:left="709" w:hanging="1"/>
        <w:jc w:val="both"/>
        <w:rPr>
          <w:rStyle w:val="Fett"/>
          <w:rFonts w:ascii="Arial" w:hAnsi="Arial" w:cs="Arial"/>
          <w:b w:val="0"/>
        </w:rPr>
      </w:pPr>
    </w:p>
    <w:p w:rsidR="00564E3D" w:rsidRDefault="003A16F9" w:rsidP="00564E3D">
      <w:pPr>
        <w:spacing w:line="276" w:lineRule="auto"/>
        <w:ind w:left="709" w:hanging="1"/>
        <w:jc w:val="both"/>
        <w:rPr>
          <w:rStyle w:val="Fett"/>
          <w:rFonts w:ascii="Arial" w:hAnsi="Arial" w:cs="Arial"/>
          <w:b w:val="0"/>
        </w:rPr>
      </w:pPr>
      <w:r w:rsidRPr="003A16F9">
        <w:rPr>
          <w:rStyle w:val="Fett"/>
          <w:rFonts w:ascii="Arial" w:hAnsi="Arial" w:cs="Arial"/>
          <w:b w:val="0"/>
        </w:rPr>
        <w:t>„(11) Soweit es wegen des eingeschränkten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Unterrichtsbetriebs infolge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der Corona</w:t>
      </w:r>
      <w:r w:rsidR="00564E3D">
        <w:rPr>
          <w:rStyle w:val="Fett"/>
          <w:rFonts w:ascii="Arial" w:hAnsi="Arial" w:cs="Arial"/>
          <w:b w:val="0"/>
        </w:rPr>
        <w:t>-</w:t>
      </w:r>
      <w:r w:rsidRPr="003A16F9">
        <w:rPr>
          <w:rStyle w:val="Fett"/>
          <w:rFonts w:ascii="Arial" w:hAnsi="Arial" w:cs="Arial"/>
          <w:b w:val="0"/>
        </w:rPr>
        <w:t>Virus</w:t>
      </w:r>
      <w:r w:rsidR="00564E3D">
        <w:rPr>
          <w:rStyle w:val="Fett"/>
          <w:rFonts w:ascii="Arial" w:hAnsi="Arial" w:cs="Arial"/>
          <w:b w:val="0"/>
        </w:rPr>
        <w:t>-</w:t>
      </w:r>
      <w:r w:rsidRPr="003A16F9">
        <w:rPr>
          <w:rStyle w:val="Fett"/>
          <w:rFonts w:ascii="Arial" w:hAnsi="Arial" w:cs="Arial"/>
          <w:b w:val="0"/>
        </w:rPr>
        <w:t>Pandemie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nicht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möglich ist, Unterrichtsbesuche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durchzuführen, legt die Lehrkraft im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Vorbereitungsdienst zur Feststellung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der Leistung in der praktischen Unterrichtstätigkeit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in der Regel einen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schriftlichen Unterrichtsentwurf vor,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der in einem Gespräch mit der oder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 xml:space="preserve">dem Modulzuständigen </w:t>
      </w:r>
      <w:r w:rsidRPr="003A16F9">
        <w:rPr>
          <w:rStyle w:val="Fett"/>
          <w:rFonts w:ascii="Arial" w:hAnsi="Arial" w:cs="Arial"/>
          <w:b w:val="0"/>
        </w:rPr>
        <w:lastRenderedPageBreak/>
        <w:t>erörtert wird.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Bei Modulprüfungen nach Abs. 8 hat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die Lehrkraft im Vorbereitungsdienst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die Wahl zwischen einer Durchführung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nach Satz 1 mit zwei Ausbilderinnen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oder Ausbildern und einer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Durchführung nach Abs. 8. Satz 1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und 2 gelten auch, wenn der Unterrichtsbesuch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oder die Modulprüfung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nicht durchgeführt werden kann, weil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die Lehrkraft im Vorbereitungsdienst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nach § 3 Abs. 5 Satz 1 der Zweiten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Verordnung zur Bekämpfung des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Corona</w:t>
      </w:r>
      <w:r w:rsidR="00564E3D">
        <w:rPr>
          <w:rStyle w:val="Fett"/>
          <w:rFonts w:ascii="Arial" w:hAnsi="Arial" w:cs="Arial"/>
          <w:b w:val="0"/>
        </w:rPr>
        <w:t>-</w:t>
      </w:r>
      <w:r w:rsidRPr="003A16F9">
        <w:rPr>
          <w:rStyle w:val="Fett"/>
          <w:rFonts w:ascii="Arial" w:hAnsi="Arial" w:cs="Arial"/>
          <w:b w:val="0"/>
        </w:rPr>
        <w:t>Virus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vom 13. März 2020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(GVBl. S. 153), zuletzt geändert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durch Verordnung vom 9. Juni 2020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(GVBl. S. 380), in der jeweils geltenden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Fassung vom Präsenzunterricht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in der Schule befreit worden ist. Den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kalendarischen Zeitraum, in dem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Satz 1 und 2 anzuwenden sind, legt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die Hessische Lehrkräfteakademie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durch Erlass fest.“</w:t>
      </w:r>
      <w:r w:rsidR="00564E3D">
        <w:rPr>
          <w:rStyle w:val="Fett"/>
          <w:rFonts w:ascii="Arial" w:hAnsi="Arial" w:cs="Arial"/>
          <w:b w:val="0"/>
        </w:rPr>
        <w:t xml:space="preserve"> </w:t>
      </w:r>
    </w:p>
    <w:p w:rsidR="00564E3D" w:rsidRDefault="00564E3D" w:rsidP="00564E3D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3A16F9" w:rsidRPr="00564E3D" w:rsidRDefault="003A16F9" w:rsidP="00730C72">
      <w:pPr>
        <w:pStyle w:val="Listenabsatz"/>
        <w:numPr>
          <w:ilvl w:val="0"/>
          <w:numId w:val="7"/>
        </w:numPr>
        <w:spacing w:line="276" w:lineRule="auto"/>
        <w:ind w:left="426" w:hanging="426"/>
        <w:jc w:val="both"/>
        <w:rPr>
          <w:rStyle w:val="Fett"/>
          <w:rFonts w:ascii="Arial" w:hAnsi="Arial" w:cs="Arial"/>
          <w:b w:val="0"/>
        </w:rPr>
      </w:pPr>
      <w:r w:rsidRPr="00564E3D">
        <w:rPr>
          <w:rStyle w:val="Fett"/>
          <w:rFonts w:ascii="Arial" w:hAnsi="Arial" w:cs="Arial"/>
          <w:b w:val="0"/>
        </w:rPr>
        <w:t>Dem § 50 Abs. 13 werden die folgenden</w:t>
      </w:r>
      <w:r w:rsidR="00564E3D" w:rsidRPr="00564E3D">
        <w:rPr>
          <w:rStyle w:val="Fett"/>
          <w:rFonts w:ascii="Arial" w:hAnsi="Arial" w:cs="Arial"/>
          <w:b w:val="0"/>
        </w:rPr>
        <w:t xml:space="preserve"> </w:t>
      </w:r>
      <w:r w:rsidRPr="00564E3D">
        <w:rPr>
          <w:rStyle w:val="Fett"/>
          <w:rFonts w:ascii="Arial" w:hAnsi="Arial" w:cs="Arial"/>
          <w:b w:val="0"/>
        </w:rPr>
        <w:t>Sätze angefügt:</w:t>
      </w:r>
    </w:p>
    <w:p w:rsidR="00564E3D" w:rsidRDefault="00564E3D" w:rsidP="003A16F9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564E3D" w:rsidRDefault="003A16F9" w:rsidP="00685027">
      <w:pPr>
        <w:spacing w:line="276" w:lineRule="auto"/>
        <w:ind w:left="426"/>
        <w:jc w:val="both"/>
        <w:rPr>
          <w:rStyle w:val="Fett"/>
          <w:rFonts w:ascii="Arial" w:hAnsi="Arial" w:cs="Arial"/>
          <w:b w:val="0"/>
        </w:rPr>
      </w:pPr>
      <w:r w:rsidRPr="003A16F9">
        <w:rPr>
          <w:rStyle w:val="Fett"/>
          <w:rFonts w:ascii="Arial" w:hAnsi="Arial" w:cs="Arial"/>
          <w:b w:val="0"/>
        </w:rPr>
        <w:t>„Im Fall einer Wiederholungsprüfung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nach § 51 des Hessischen Lehrerbildungsgesetzes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hat die Lehrkraft im Vorbereitungsdienst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die Wahl zwischen einer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Prüfungslehrprobe nach § 47 des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Hessischen Lehrerbildungsgesetzes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oder einer Prüfung nach Satz 1 bis 3.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Die Zeitvorgaben des § 51 Satz 1 des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Hessischen Lehrerbildungsgesetzes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gelten entsprechend. Wird von diesem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Wahlrecht nicht Gebrauch gemacht,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wird die Wiederholungsprüfung, sofern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der Unterrichtsbetrieb es zulässt, mit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Prüfungslehrproben nach § 47 des Hessischen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Lehrerbildungsgesetzes mit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Lerngruppen durchgeführt. Satz 1 bis 6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gelten auch, wenn der Unterrichtsbesuch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oder die Modulprüfung nicht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durchgeführt werden kann, weil die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Lehrkraft im Vorbereitungsdienst nach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§ 3 Abs. 5 Satz 1 der Zweiten Verordnung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zur Bekämpfung des Corona</w:t>
      </w:r>
      <w:r w:rsidR="00564E3D">
        <w:rPr>
          <w:rStyle w:val="Fett"/>
          <w:rFonts w:ascii="Arial" w:hAnsi="Arial" w:cs="Arial"/>
          <w:b w:val="0"/>
        </w:rPr>
        <w:t>-</w:t>
      </w:r>
      <w:r w:rsidRPr="003A16F9">
        <w:rPr>
          <w:rStyle w:val="Fett"/>
          <w:rFonts w:ascii="Arial" w:hAnsi="Arial" w:cs="Arial"/>
          <w:b w:val="0"/>
        </w:rPr>
        <w:t>Virus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vom 13. März 2020 (GVBl. S. 153), zuletzt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geändert durch Verordnung vom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9. Juni 2020 (GVBl. S. 380), in der jeweils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geltenden Fassung vom Präsenzunterricht</w:t>
      </w:r>
      <w:r w:rsidR="00564E3D">
        <w:rPr>
          <w:rStyle w:val="Fett"/>
          <w:rFonts w:ascii="Arial" w:hAnsi="Arial" w:cs="Arial"/>
          <w:b w:val="0"/>
        </w:rPr>
        <w:t xml:space="preserve"> </w:t>
      </w:r>
      <w:r w:rsidRPr="003A16F9">
        <w:rPr>
          <w:rStyle w:val="Fett"/>
          <w:rFonts w:ascii="Arial" w:hAnsi="Arial" w:cs="Arial"/>
          <w:b w:val="0"/>
        </w:rPr>
        <w:t>in der Schule befreit worden ist.“</w:t>
      </w:r>
    </w:p>
    <w:p w:rsidR="00564E3D" w:rsidRDefault="00564E3D" w:rsidP="00564E3D">
      <w:pPr>
        <w:spacing w:line="276" w:lineRule="auto"/>
        <w:ind w:firstLine="426"/>
        <w:jc w:val="both"/>
        <w:rPr>
          <w:rStyle w:val="Fett"/>
          <w:rFonts w:ascii="Arial" w:hAnsi="Arial" w:cs="Arial"/>
          <w:b w:val="0"/>
        </w:rPr>
      </w:pPr>
    </w:p>
    <w:p w:rsidR="003A16F9" w:rsidRDefault="00564E3D" w:rsidP="00564E3D">
      <w:pPr>
        <w:spacing w:line="276" w:lineRule="auto"/>
        <w:ind w:left="426" w:hanging="426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5.</w:t>
      </w:r>
      <w:r>
        <w:rPr>
          <w:rStyle w:val="Fett"/>
          <w:rFonts w:ascii="Arial" w:hAnsi="Arial" w:cs="Arial"/>
          <w:b w:val="0"/>
        </w:rPr>
        <w:tab/>
      </w:r>
      <w:r w:rsidR="003A16F9" w:rsidRPr="003A16F9">
        <w:rPr>
          <w:rStyle w:val="Fett"/>
          <w:rFonts w:ascii="Arial" w:hAnsi="Arial" w:cs="Arial"/>
          <w:b w:val="0"/>
        </w:rPr>
        <w:t>Dem § 62 Abs. 2 wird folgender Satz</w:t>
      </w:r>
      <w:r>
        <w:rPr>
          <w:rStyle w:val="Fett"/>
          <w:rFonts w:ascii="Arial" w:hAnsi="Arial" w:cs="Arial"/>
          <w:b w:val="0"/>
        </w:rPr>
        <w:t xml:space="preserve"> </w:t>
      </w:r>
      <w:r w:rsidR="003A16F9" w:rsidRPr="003A16F9">
        <w:rPr>
          <w:rStyle w:val="Fett"/>
          <w:rFonts w:ascii="Arial" w:hAnsi="Arial" w:cs="Arial"/>
          <w:b w:val="0"/>
        </w:rPr>
        <w:t>angefügt:</w:t>
      </w:r>
    </w:p>
    <w:p w:rsidR="00564E3D" w:rsidRPr="003A16F9" w:rsidRDefault="00564E3D" w:rsidP="00564E3D">
      <w:pPr>
        <w:spacing w:line="276" w:lineRule="auto"/>
        <w:ind w:left="426" w:hanging="426"/>
        <w:jc w:val="both"/>
        <w:rPr>
          <w:rStyle w:val="Fett"/>
          <w:rFonts w:ascii="Arial" w:hAnsi="Arial" w:cs="Arial"/>
          <w:b w:val="0"/>
        </w:rPr>
      </w:pPr>
    </w:p>
    <w:p w:rsidR="003A16F9" w:rsidRDefault="003A16F9" w:rsidP="00564E3D">
      <w:pPr>
        <w:spacing w:line="276" w:lineRule="auto"/>
        <w:ind w:firstLine="426"/>
        <w:jc w:val="both"/>
        <w:rPr>
          <w:rStyle w:val="Fett"/>
          <w:rFonts w:ascii="Arial" w:hAnsi="Arial" w:cs="Arial"/>
          <w:b w:val="0"/>
        </w:rPr>
      </w:pPr>
      <w:r w:rsidRPr="003A16F9">
        <w:rPr>
          <w:rStyle w:val="Fett"/>
          <w:rFonts w:ascii="Arial" w:hAnsi="Arial" w:cs="Arial"/>
          <w:b w:val="0"/>
        </w:rPr>
        <w:t>„Darüber hinaus gilt § 50 Abs. 13 entsprechend.“</w:t>
      </w:r>
    </w:p>
    <w:p w:rsidR="00685027" w:rsidRDefault="00685027" w:rsidP="00564E3D">
      <w:pPr>
        <w:spacing w:line="276" w:lineRule="auto"/>
        <w:ind w:firstLine="426"/>
        <w:jc w:val="both"/>
        <w:rPr>
          <w:rStyle w:val="Fett"/>
          <w:rFonts w:ascii="Arial" w:hAnsi="Arial" w:cs="Arial"/>
          <w:b w:val="0"/>
        </w:rPr>
      </w:pPr>
    </w:p>
    <w:p w:rsidR="00685027" w:rsidRDefault="00685027" w:rsidP="00685027">
      <w:pPr>
        <w:tabs>
          <w:tab w:val="left" w:pos="426"/>
        </w:tabs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6.</w:t>
      </w:r>
      <w:r>
        <w:rPr>
          <w:rStyle w:val="Fett"/>
          <w:rFonts w:ascii="Arial" w:hAnsi="Arial" w:cs="Arial"/>
          <w:b w:val="0"/>
        </w:rPr>
        <w:tab/>
      </w:r>
      <w:r w:rsidRPr="00685027">
        <w:rPr>
          <w:rStyle w:val="Fett"/>
          <w:rFonts w:ascii="Arial" w:hAnsi="Arial" w:cs="Arial"/>
          <w:b w:val="0"/>
        </w:rPr>
        <w:t>§ 86 wird wie folgt geändert:</w:t>
      </w:r>
    </w:p>
    <w:p w:rsidR="00685027" w:rsidRPr="00685027" w:rsidRDefault="00685027" w:rsidP="00685027">
      <w:pPr>
        <w:tabs>
          <w:tab w:val="left" w:pos="426"/>
        </w:tabs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685027" w:rsidRDefault="00685027" w:rsidP="00685027">
      <w:pPr>
        <w:pStyle w:val="Listenabsatz"/>
        <w:numPr>
          <w:ilvl w:val="0"/>
          <w:numId w:val="10"/>
        </w:numPr>
        <w:spacing w:line="276" w:lineRule="auto"/>
        <w:jc w:val="both"/>
        <w:rPr>
          <w:rStyle w:val="Fett"/>
          <w:rFonts w:ascii="Arial" w:hAnsi="Arial" w:cs="Arial"/>
          <w:b w:val="0"/>
        </w:rPr>
      </w:pPr>
      <w:r w:rsidRPr="00685027">
        <w:rPr>
          <w:rStyle w:val="Fett"/>
          <w:rFonts w:ascii="Arial" w:hAnsi="Arial" w:cs="Arial"/>
          <w:b w:val="0"/>
        </w:rPr>
        <w:t>Die Überschrift wird wie folgt gefasst:</w:t>
      </w:r>
    </w:p>
    <w:p w:rsidR="00685027" w:rsidRPr="00685027" w:rsidRDefault="00685027" w:rsidP="00685027">
      <w:pPr>
        <w:pStyle w:val="Listenabsatz"/>
        <w:spacing w:line="276" w:lineRule="auto"/>
        <w:ind w:left="786"/>
        <w:jc w:val="both"/>
        <w:rPr>
          <w:rStyle w:val="Fett"/>
          <w:rFonts w:ascii="Arial" w:hAnsi="Arial" w:cs="Arial"/>
          <w:b w:val="0"/>
        </w:rPr>
      </w:pPr>
    </w:p>
    <w:p w:rsidR="00685027" w:rsidRDefault="00685027" w:rsidP="00685027">
      <w:pPr>
        <w:spacing w:line="276" w:lineRule="auto"/>
        <w:ind w:firstLine="708"/>
        <w:jc w:val="both"/>
        <w:rPr>
          <w:rStyle w:val="Fett"/>
          <w:rFonts w:ascii="Arial" w:hAnsi="Arial" w:cs="Arial"/>
          <w:b w:val="0"/>
        </w:rPr>
      </w:pPr>
      <w:r w:rsidRPr="00685027">
        <w:rPr>
          <w:rStyle w:val="Fett"/>
          <w:rFonts w:ascii="Arial" w:hAnsi="Arial" w:cs="Arial"/>
          <w:b w:val="0"/>
        </w:rPr>
        <w:t>„Inkrafttreten, Außerkrafttreten“</w:t>
      </w:r>
    </w:p>
    <w:p w:rsidR="00685027" w:rsidRPr="00685027" w:rsidRDefault="00685027" w:rsidP="00685027">
      <w:pPr>
        <w:spacing w:line="276" w:lineRule="auto"/>
        <w:ind w:firstLine="708"/>
        <w:jc w:val="both"/>
        <w:rPr>
          <w:rStyle w:val="Fett"/>
          <w:rFonts w:ascii="Arial" w:hAnsi="Arial" w:cs="Arial"/>
          <w:b w:val="0"/>
        </w:rPr>
      </w:pPr>
    </w:p>
    <w:p w:rsidR="00685027" w:rsidRPr="00685027" w:rsidRDefault="00685027" w:rsidP="003E56A7">
      <w:pPr>
        <w:pStyle w:val="Listenabsatz"/>
        <w:numPr>
          <w:ilvl w:val="0"/>
          <w:numId w:val="10"/>
        </w:numPr>
        <w:spacing w:line="276" w:lineRule="auto"/>
        <w:jc w:val="both"/>
        <w:rPr>
          <w:rStyle w:val="Fett"/>
          <w:rFonts w:ascii="Arial" w:hAnsi="Arial" w:cs="Arial"/>
          <w:b w:val="0"/>
        </w:rPr>
      </w:pPr>
      <w:r w:rsidRPr="00685027">
        <w:rPr>
          <w:rStyle w:val="Fett"/>
          <w:rFonts w:ascii="Arial" w:hAnsi="Arial" w:cs="Arial"/>
          <w:b w:val="0"/>
        </w:rPr>
        <w:t>Dem Wortlaut werden folgende Sätze angefügt:</w:t>
      </w:r>
    </w:p>
    <w:p w:rsidR="00685027" w:rsidRDefault="00685027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685027" w:rsidRDefault="00685027" w:rsidP="00685027">
      <w:pPr>
        <w:spacing w:line="276" w:lineRule="auto"/>
        <w:ind w:left="709"/>
        <w:jc w:val="both"/>
        <w:rPr>
          <w:rStyle w:val="Fett"/>
          <w:rFonts w:ascii="Arial" w:hAnsi="Arial" w:cs="Arial"/>
          <w:b w:val="0"/>
        </w:rPr>
      </w:pPr>
      <w:r w:rsidRPr="00685027">
        <w:rPr>
          <w:rStyle w:val="Fett"/>
          <w:rFonts w:ascii="Arial" w:hAnsi="Arial" w:cs="Arial"/>
          <w:b w:val="0"/>
        </w:rPr>
        <w:t>„§ 44 Abs. 6 Satz 6 und Abs. 11 sowie</w:t>
      </w:r>
      <w:r>
        <w:rPr>
          <w:rStyle w:val="Fett"/>
          <w:rFonts w:ascii="Arial" w:hAnsi="Arial" w:cs="Arial"/>
          <w:b w:val="0"/>
        </w:rPr>
        <w:t xml:space="preserve"> </w:t>
      </w:r>
      <w:r w:rsidRPr="00685027">
        <w:rPr>
          <w:rStyle w:val="Fett"/>
          <w:rFonts w:ascii="Arial" w:hAnsi="Arial" w:cs="Arial"/>
          <w:b w:val="0"/>
        </w:rPr>
        <w:t>§ 62 Abs. 2 Satz 5 treten mit Ablauf</w:t>
      </w:r>
      <w:r>
        <w:rPr>
          <w:rStyle w:val="Fett"/>
          <w:rFonts w:ascii="Arial" w:hAnsi="Arial" w:cs="Arial"/>
          <w:b w:val="0"/>
        </w:rPr>
        <w:t xml:space="preserve"> </w:t>
      </w:r>
      <w:r w:rsidRPr="00685027">
        <w:rPr>
          <w:rStyle w:val="Fett"/>
          <w:rFonts w:ascii="Arial" w:hAnsi="Arial" w:cs="Arial"/>
          <w:b w:val="0"/>
        </w:rPr>
        <w:t>des 31. März 2021 außer Kraft.</w:t>
      </w:r>
      <w:r>
        <w:rPr>
          <w:rStyle w:val="Fett"/>
          <w:rFonts w:ascii="Arial" w:hAnsi="Arial" w:cs="Arial"/>
          <w:b w:val="0"/>
        </w:rPr>
        <w:t xml:space="preserve"> </w:t>
      </w:r>
      <w:r w:rsidRPr="00685027">
        <w:rPr>
          <w:rStyle w:val="Fett"/>
          <w:rFonts w:ascii="Arial" w:hAnsi="Arial" w:cs="Arial"/>
          <w:b w:val="0"/>
        </w:rPr>
        <w:t>§ 30 Abs. 2 Satz 4, § 42 Abs. 3</w:t>
      </w:r>
      <w:r>
        <w:rPr>
          <w:rStyle w:val="Fett"/>
          <w:rFonts w:ascii="Arial" w:hAnsi="Arial" w:cs="Arial"/>
          <w:b w:val="0"/>
        </w:rPr>
        <w:t xml:space="preserve"> </w:t>
      </w:r>
      <w:r w:rsidRPr="00685027">
        <w:rPr>
          <w:rStyle w:val="Fett"/>
          <w:rFonts w:ascii="Arial" w:hAnsi="Arial" w:cs="Arial"/>
          <w:b w:val="0"/>
        </w:rPr>
        <w:t>Satz 3 und 4, § 44 Abs. 6 Satz 6 und</w:t>
      </w:r>
      <w:r>
        <w:rPr>
          <w:rStyle w:val="Fett"/>
          <w:rFonts w:ascii="Arial" w:hAnsi="Arial" w:cs="Arial"/>
          <w:b w:val="0"/>
        </w:rPr>
        <w:t xml:space="preserve"> </w:t>
      </w:r>
      <w:r w:rsidRPr="00685027">
        <w:rPr>
          <w:rStyle w:val="Fett"/>
          <w:rFonts w:ascii="Arial" w:hAnsi="Arial" w:cs="Arial"/>
          <w:b w:val="0"/>
        </w:rPr>
        <w:t>Abs. 11, § 50 Abs. 13, § 51 Abs. 3</w:t>
      </w:r>
      <w:r>
        <w:rPr>
          <w:rStyle w:val="Fett"/>
          <w:rFonts w:ascii="Arial" w:hAnsi="Arial" w:cs="Arial"/>
          <w:b w:val="0"/>
        </w:rPr>
        <w:t xml:space="preserve"> </w:t>
      </w:r>
      <w:r w:rsidRPr="00685027">
        <w:rPr>
          <w:rStyle w:val="Fett"/>
          <w:rFonts w:ascii="Arial" w:hAnsi="Arial" w:cs="Arial"/>
          <w:b w:val="0"/>
        </w:rPr>
        <w:t>sowie § 62 Abs. 2 Satz 5 treten mit</w:t>
      </w:r>
      <w:r>
        <w:rPr>
          <w:rStyle w:val="Fett"/>
          <w:rFonts w:ascii="Arial" w:hAnsi="Arial" w:cs="Arial"/>
          <w:b w:val="0"/>
        </w:rPr>
        <w:t xml:space="preserve"> </w:t>
      </w:r>
      <w:r w:rsidRPr="00685027">
        <w:rPr>
          <w:rStyle w:val="Fett"/>
          <w:rFonts w:ascii="Arial" w:hAnsi="Arial" w:cs="Arial"/>
          <w:b w:val="0"/>
        </w:rPr>
        <w:t>Ablauf des 31. März 2021 außer</w:t>
      </w:r>
      <w:r>
        <w:rPr>
          <w:rStyle w:val="Fett"/>
          <w:rFonts w:ascii="Arial" w:hAnsi="Arial" w:cs="Arial"/>
          <w:b w:val="0"/>
        </w:rPr>
        <w:t xml:space="preserve"> </w:t>
      </w:r>
      <w:r w:rsidRPr="00685027">
        <w:rPr>
          <w:rStyle w:val="Fett"/>
          <w:rFonts w:ascii="Arial" w:hAnsi="Arial" w:cs="Arial"/>
          <w:b w:val="0"/>
        </w:rPr>
        <w:t>Kraft. In § 50 Abs. 1 Satz 2 werden</w:t>
      </w:r>
      <w:r>
        <w:rPr>
          <w:rStyle w:val="Fett"/>
          <w:rFonts w:ascii="Arial" w:hAnsi="Arial" w:cs="Arial"/>
          <w:b w:val="0"/>
        </w:rPr>
        <w:t xml:space="preserve"> </w:t>
      </w:r>
      <w:r w:rsidRPr="00685027">
        <w:rPr>
          <w:rStyle w:val="Fett"/>
          <w:rFonts w:ascii="Arial" w:hAnsi="Arial" w:cs="Arial"/>
          <w:b w:val="0"/>
        </w:rPr>
        <w:t>das Semikolon und die Wörter ‚§ 50</w:t>
      </w:r>
      <w:r>
        <w:rPr>
          <w:rStyle w:val="Fett"/>
          <w:rFonts w:ascii="Arial" w:hAnsi="Arial" w:cs="Arial"/>
          <w:b w:val="0"/>
        </w:rPr>
        <w:t xml:space="preserve"> </w:t>
      </w:r>
      <w:r w:rsidRPr="00685027">
        <w:rPr>
          <w:rStyle w:val="Fett"/>
          <w:rFonts w:ascii="Arial" w:hAnsi="Arial" w:cs="Arial"/>
          <w:b w:val="0"/>
        </w:rPr>
        <w:t xml:space="preserve">Abs. 13 bleibt unberührt.‘ mit </w:t>
      </w:r>
      <w:r w:rsidRPr="00685027">
        <w:rPr>
          <w:rStyle w:val="Fett"/>
          <w:rFonts w:ascii="Arial" w:hAnsi="Arial" w:cs="Arial"/>
          <w:b w:val="0"/>
        </w:rPr>
        <w:lastRenderedPageBreak/>
        <w:t>Ablauf</w:t>
      </w:r>
      <w:r>
        <w:rPr>
          <w:rStyle w:val="Fett"/>
          <w:rFonts w:ascii="Arial" w:hAnsi="Arial" w:cs="Arial"/>
          <w:b w:val="0"/>
        </w:rPr>
        <w:t xml:space="preserve"> </w:t>
      </w:r>
      <w:r w:rsidRPr="00685027">
        <w:rPr>
          <w:rStyle w:val="Fett"/>
          <w:rFonts w:ascii="Arial" w:hAnsi="Arial" w:cs="Arial"/>
          <w:b w:val="0"/>
        </w:rPr>
        <w:t>des 31. März 2021 gestrichen.“</w:t>
      </w:r>
    </w:p>
    <w:p w:rsidR="00685027" w:rsidRDefault="00685027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685027" w:rsidRDefault="00685027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Diese Änderungen bedeuten im Einzelnen:</w:t>
      </w:r>
    </w:p>
    <w:p w:rsidR="00685027" w:rsidRDefault="00685027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685027" w:rsidRDefault="00861FD6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Z</w:t>
      </w:r>
      <w:r w:rsidR="00685027">
        <w:rPr>
          <w:rStyle w:val="Fett"/>
          <w:rFonts w:ascii="Arial" w:hAnsi="Arial" w:cs="Arial"/>
          <w:b w:val="0"/>
        </w:rPr>
        <w:t>u 1. und 5.</w:t>
      </w:r>
    </w:p>
    <w:p w:rsidR="00685027" w:rsidRDefault="00685027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Es ist festgelegt, dass die Pandemie bedingten Änderungen eine zeitliche Befristung bis zum 31.03.2021 haben.</w:t>
      </w:r>
      <w:r w:rsidR="00861FD6">
        <w:rPr>
          <w:rStyle w:val="Fett"/>
          <w:rFonts w:ascii="Arial" w:hAnsi="Arial" w:cs="Arial"/>
          <w:b w:val="0"/>
        </w:rPr>
        <w:t xml:space="preserve"> Sofern es die Situation erforderlich machen sollte, könnte eine Verlängerung erfolgen.</w:t>
      </w:r>
    </w:p>
    <w:p w:rsidR="00861FD6" w:rsidRDefault="00861FD6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861FD6" w:rsidRDefault="00861FD6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Zu 2.</w:t>
      </w:r>
    </w:p>
    <w:p w:rsidR="00861FD6" w:rsidRDefault="00861FD6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Dies betrifft ausschließlich die Einstellung der LiV.</w:t>
      </w:r>
    </w:p>
    <w:p w:rsidR="00861FD6" w:rsidRDefault="00861FD6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861FD6" w:rsidRDefault="00861FD6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Zu 3.</w:t>
      </w:r>
    </w:p>
    <w:p w:rsidR="00861FD6" w:rsidRDefault="00861FD6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Mit dem neuen § 44 Abs. 11 wird die Möglichkeit geschaffen, zu einer Bewertung der Unterrichtspraxis in den Modulen zu kommen, auch wenn kein Unterricht stattfinden kann oder die LiV als Zugehörige/r zur Risikogruppe nicht in den Präsenzunterricht darf.</w:t>
      </w:r>
    </w:p>
    <w:p w:rsidR="00861FD6" w:rsidRDefault="00861FD6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861FD6" w:rsidRDefault="00861FD6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Ebenso ist geregelt, dass </w:t>
      </w:r>
      <w:r w:rsidR="00300D1C">
        <w:rPr>
          <w:rStyle w:val="Fett"/>
          <w:rFonts w:ascii="Arial" w:hAnsi="Arial" w:cs="Arial"/>
          <w:b w:val="0"/>
        </w:rPr>
        <w:t>LiV bei Modulprüfungen die Wahlmöglichkeit haben, ob Modulprüfungen nach dem klassischen Muster (Abs. 8) oder aber ohne Lerngruppe stattfinden soll.</w:t>
      </w:r>
    </w:p>
    <w:p w:rsidR="00300D1C" w:rsidRDefault="00300D1C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300D1C" w:rsidRDefault="00300D1C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Zu 4.</w:t>
      </w:r>
    </w:p>
    <w:p w:rsidR="00300D1C" w:rsidRDefault="00300D1C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Auch bei der Zweiten Staatsprüfung haben </w:t>
      </w:r>
      <w:r w:rsidR="00872940">
        <w:rPr>
          <w:rStyle w:val="Fett"/>
          <w:rFonts w:ascii="Arial" w:hAnsi="Arial" w:cs="Arial"/>
          <w:b w:val="0"/>
        </w:rPr>
        <w:t>LiV nunmehr die Wahlmöglichkeit, ob diese nach dem regulären oder dem „Corona-Format“ stattfinden soll. Sofern von dem Wahlrecht kein Gebrauch gemacht, ist das reguläre Format anzuwenden, sofern Lerngruppen zur Verfügung stehen.</w:t>
      </w:r>
    </w:p>
    <w:p w:rsidR="00872940" w:rsidRDefault="00872940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</w:p>
    <w:p w:rsidR="00872940" w:rsidRPr="003A16F9" w:rsidRDefault="00872940" w:rsidP="00685027">
      <w:pPr>
        <w:spacing w:line="276" w:lineRule="auto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Des Weiteren haben LiV, die der Risikogruppe angehören, die Möglichkeit einer Prüfung im „Corona-Format“.</w:t>
      </w:r>
      <w:bookmarkStart w:id="7" w:name="_GoBack"/>
      <w:bookmarkEnd w:id="7"/>
    </w:p>
    <w:sectPr w:rsidR="00872940" w:rsidRPr="003A16F9" w:rsidSect="0012650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35" w:right="1417" w:bottom="993" w:left="1701" w:header="567" w:footer="49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4F" w:rsidRDefault="0044374F">
      <w:r>
        <w:separator/>
      </w:r>
    </w:p>
  </w:endnote>
  <w:endnote w:type="continuationSeparator" w:id="0">
    <w:p w:rsidR="0044374F" w:rsidRDefault="0044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4F" w:rsidRDefault="0044374F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74"/>
      <w:gridCol w:w="3363"/>
      <w:gridCol w:w="2874"/>
    </w:tblGrid>
    <w:tr w:rsidR="0044374F" w:rsidRPr="006B7207" w:rsidTr="007E268A">
      <w:trPr>
        <w:trHeight w:val="290"/>
      </w:trPr>
      <w:tc>
        <w:tcPr>
          <w:tcW w:w="2874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4374F" w:rsidRPr="00E1594E" w:rsidRDefault="0044374F" w:rsidP="00E1594E">
          <w:pPr>
            <w:pStyle w:val="Fuzeile"/>
            <w:rPr>
              <w:rFonts w:cs="Arial"/>
              <w:szCs w:val="14"/>
            </w:rPr>
          </w:pPr>
          <w:r w:rsidRPr="00E1594E">
            <w:rPr>
              <w:rFonts w:cs="Arial"/>
              <w:szCs w:val="14"/>
            </w:rPr>
            <w:t xml:space="preserve">Stuttgarter Straße 18-24 </w:t>
          </w:r>
          <w:r w:rsidRPr="00E1594E">
            <w:rPr>
              <w:rFonts w:cs="Arial"/>
              <w:szCs w:val="14"/>
            </w:rPr>
            <w:t> 60329 Frankfurt</w:t>
          </w:r>
        </w:p>
        <w:p w:rsidR="0044374F" w:rsidRPr="006B7207" w:rsidRDefault="0044374F" w:rsidP="00E1594E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E1594E">
            <w:rPr>
              <w:rFonts w:cs="Arial"/>
              <w:szCs w:val="14"/>
            </w:rPr>
            <w:t>Telefon 069 38989-00 Fax 069 38989-391</w:t>
          </w:r>
        </w:p>
      </w:tc>
      <w:tc>
        <w:tcPr>
          <w:tcW w:w="3363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4374F" w:rsidRPr="006B7207" w:rsidRDefault="0044374F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E-Mail: </w:t>
          </w:r>
          <w:r>
            <w:rPr>
              <w:rFonts w:cs="Arial"/>
              <w:szCs w:val="14"/>
            </w:rPr>
            <w:tab/>
            <w:t>poststelle.la@kultus.</w:t>
          </w:r>
          <w:r w:rsidRPr="006B7207">
            <w:rPr>
              <w:rFonts w:cs="Arial"/>
              <w:szCs w:val="14"/>
            </w:rPr>
            <w:t>hessen.de</w:t>
          </w:r>
        </w:p>
        <w:p w:rsidR="0044374F" w:rsidRPr="006B7207" w:rsidRDefault="0044374F" w:rsidP="0079320A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Internet: </w:t>
          </w:r>
          <w:r>
            <w:rPr>
              <w:rFonts w:cs="Arial"/>
              <w:szCs w:val="14"/>
            </w:rPr>
            <w:tab/>
            <w:t>www.l</w:t>
          </w:r>
          <w:r w:rsidR="0079320A">
            <w:rPr>
              <w:rFonts w:cs="Arial"/>
              <w:szCs w:val="14"/>
            </w:rPr>
            <w:t>ehrkraefte</w:t>
          </w:r>
          <w:r w:rsidRPr="006B7207">
            <w:rPr>
              <w:rFonts w:cs="Arial"/>
              <w:szCs w:val="14"/>
            </w:rPr>
            <w:t>a</w:t>
          </w:r>
          <w:r w:rsidR="0079320A">
            <w:rPr>
              <w:rFonts w:cs="Arial"/>
              <w:szCs w:val="14"/>
            </w:rPr>
            <w:t>kademie.</w:t>
          </w:r>
          <w:r w:rsidRPr="006B7207">
            <w:rPr>
              <w:rFonts w:cs="Arial"/>
              <w:szCs w:val="14"/>
            </w:rPr>
            <w:t>hessen.de</w:t>
          </w:r>
        </w:p>
      </w:tc>
      <w:tc>
        <w:tcPr>
          <w:tcW w:w="2874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4374F" w:rsidRPr="006B7207" w:rsidRDefault="0044374F" w:rsidP="00033ED8">
          <w:pPr>
            <w:pStyle w:val="Fuzeile"/>
            <w:rPr>
              <w:szCs w:val="14"/>
            </w:rPr>
          </w:pPr>
        </w:p>
      </w:tc>
    </w:tr>
  </w:tbl>
  <w:p w:rsidR="0044374F" w:rsidRPr="007A399C" w:rsidRDefault="0044374F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4F" w:rsidRDefault="0044374F">
      <w:r>
        <w:separator/>
      </w:r>
    </w:p>
  </w:footnote>
  <w:footnote w:type="continuationSeparator" w:id="0">
    <w:p w:rsidR="0044374F" w:rsidRDefault="0044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4F" w:rsidRPr="00685027" w:rsidRDefault="0044374F">
    <w:pPr>
      <w:pStyle w:val="Kopfzeile"/>
      <w:rPr>
        <w:rFonts w:ascii="Arial" w:hAnsi="Arial" w:cs="Arial"/>
      </w:rPr>
    </w:pPr>
    <w:r>
      <w:tab/>
    </w:r>
    <w:r w:rsidRPr="00685027">
      <w:rPr>
        <w:rFonts w:ascii="Arial" w:hAnsi="Arial" w:cs="Arial"/>
      </w:rPr>
      <w:t xml:space="preserve">- </w:t>
    </w:r>
    <w:r w:rsidRPr="00685027">
      <w:rPr>
        <w:rStyle w:val="Seitenzahl"/>
        <w:rFonts w:ascii="Arial" w:hAnsi="Arial" w:cs="Arial"/>
      </w:rPr>
      <w:fldChar w:fldCharType="begin"/>
    </w:r>
    <w:r w:rsidRPr="00685027">
      <w:rPr>
        <w:rStyle w:val="Seitenzahl"/>
        <w:rFonts w:ascii="Arial" w:hAnsi="Arial" w:cs="Arial"/>
      </w:rPr>
      <w:instrText xml:space="preserve">PAGE </w:instrText>
    </w:r>
    <w:r w:rsidRPr="00685027">
      <w:rPr>
        <w:rStyle w:val="Seitenzahl"/>
        <w:rFonts w:ascii="Arial" w:hAnsi="Arial" w:cs="Arial"/>
      </w:rPr>
      <w:fldChar w:fldCharType="separate"/>
    </w:r>
    <w:r w:rsidR="00872940">
      <w:rPr>
        <w:rStyle w:val="Seitenzahl"/>
        <w:rFonts w:ascii="Arial" w:hAnsi="Arial" w:cs="Arial"/>
        <w:noProof/>
      </w:rPr>
      <w:t>3</w:t>
    </w:r>
    <w:r w:rsidRPr="00685027">
      <w:rPr>
        <w:rStyle w:val="Seitenzahl"/>
        <w:rFonts w:ascii="Arial" w:hAnsi="Arial" w:cs="Arial"/>
      </w:rPr>
      <w:fldChar w:fldCharType="end"/>
    </w:r>
    <w:r w:rsidRPr="00685027">
      <w:rPr>
        <w:rStyle w:val="Seitenzahl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4F" w:rsidRDefault="0044374F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8" w:name="Color"/>
    <w:bookmarkStart w:id="9" w:name="SW"/>
    <w:r>
      <w:rPr>
        <w:noProof/>
      </w:rPr>
      <w:drawing>
        <wp:anchor distT="0" distB="0" distL="114300" distR="114300" simplePos="0" relativeHeight="251659264" behindDoc="0" locked="0" layoutInCell="1" allowOverlap="1" wp14:anchorId="57BBED09" wp14:editId="5F814450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D1B">
      <w:rPr>
        <w:color w:val="auto"/>
        <w:sz w:val="23"/>
      </w:rPr>
      <w:t>Hessische</w:t>
    </w:r>
    <w:r w:rsidRPr="006B7207">
      <w:rPr>
        <w:color w:val="auto"/>
        <w:sz w:val="23"/>
      </w:rPr>
      <w:t xml:space="preserve"> Lehrkräfteakademie</w:t>
    </w:r>
    <w:bookmarkStart w:id="10" w:name="Kopf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4E64"/>
    <w:multiLevelType w:val="hybridMultilevel"/>
    <w:tmpl w:val="7214FD8E"/>
    <w:lvl w:ilvl="0" w:tplc="072802C4">
      <w:numFmt w:val="bullet"/>
      <w:lvlText w:val="•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43512AD"/>
    <w:multiLevelType w:val="hybridMultilevel"/>
    <w:tmpl w:val="A6E891B0"/>
    <w:lvl w:ilvl="0" w:tplc="44144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F0566A"/>
    <w:multiLevelType w:val="hybridMultilevel"/>
    <w:tmpl w:val="E020B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7186"/>
    <w:multiLevelType w:val="hybridMultilevel"/>
    <w:tmpl w:val="8310A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9661C"/>
    <w:multiLevelType w:val="hybridMultilevel"/>
    <w:tmpl w:val="CEEA9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645F"/>
    <w:multiLevelType w:val="hybridMultilevel"/>
    <w:tmpl w:val="C57E0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7113"/>
    <w:multiLevelType w:val="multilevel"/>
    <w:tmpl w:val="A6E891B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DF534C"/>
    <w:multiLevelType w:val="hybridMultilevel"/>
    <w:tmpl w:val="5950DEC6"/>
    <w:lvl w:ilvl="0" w:tplc="44144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4E"/>
    <w:rsid w:val="00002144"/>
    <w:rsid w:val="00004911"/>
    <w:rsid w:val="00005DF6"/>
    <w:rsid w:val="00033C0B"/>
    <w:rsid w:val="00033ED8"/>
    <w:rsid w:val="000375B8"/>
    <w:rsid w:val="00043495"/>
    <w:rsid w:val="00045042"/>
    <w:rsid w:val="00065F8A"/>
    <w:rsid w:val="00070339"/>
    <w:rsid w:val="000C119D"/>
    <w:rsid w:val="000F0004"/>
    <w:rsid w:val="00101959"/>
    <w:rsid w:val="0010625A"/>
    <w:rsid w:val="001108D8"/>
    <w:rsid w:val="00117953"/>
    <w:rsid w:val="001219C1"/>
    <w:rsid w:val="00124D1B"/>
    <w:rsid w:val="0012650D"/>
    <w:rsid w:val="00135FC4"/>
    <w:rsid w:val="0014290C"/>
    <w:rsid w:val="00174996"/>
    <w:rsid w:val="001B0578"/>
    <w:rsid w:val="00203A53"/>
    <w:rsid w:val="00213A5C"/>
    <w:rsid w:val="002168B6"/>
    <w:rsid w:val="00224AB3"/>
    <w:rsid w:val="00226A2C"/>
    <w:rsid w:val="0024144F"/>
    <w:rsid w:val="002518A0"/>
    <w:rsid w:val="002611FD"/>
    <w:rsid w:val="002818BA"/>
    <w:rsid w:val="002827F5"/>
    <w:rsid w:val="00285EB2"/>
    <w:rsid w:val="00297490"/>
    <w:rsid w:val="002A66E9"/>
    <w:rsid w:val="002A70FC"/>
    <w:rsid w:val="002E1047"/>
    <w:rsid w:val="002F068B"/>
    <w:rsid w:val="002F4590"/>
    <w:rsid w:val="00300D1C"/>
    <w:rsid w:val="003027E3"/>
    <w:rsid w:val="003038B0"/>
    <w:rsid w:val="003121C4"/>
    <w:rsid w:val="0031421C"/>
    <w:rsid w:val="00326DBE"/>
    <w:rsid w:val="00352C18"/>
    <w:rsid w:val="003A16F9"/>
    <w:rsid w:val="003A2790"/>
    <w:rsid w:val="003B03C8"/>
    <w:rsid w:val="003C1EAD"/>
    <w:rsid w:val="00440DF8"/>
    <w:rsid w:val="0044374F"/>
    <w:rsid w:val="00457A56"/>
    <w:rsid w:val="00465383"/>
    <w:rsid w:val="00465DB3"/>
    <w:rsid w:val="004A135D"/>
    <w:rsid w:val="004A1E81"/>
    <w:rsid w:val="004B2E05"/>
    <w:rsid w:val="004B70AA"/>
    <w:rsid w:val="004D2BD6"/>
    <w:rsid w:val="004D76C8"/>
    <w:rsid w:val="004D7A57"/>
    <w:rsid w:val="004E6AE4"/>
    <w:rsid w:val="00522224"/>
    <w:rsid w:val="00534802"/>
    <w:rsid w:val="00541A3B"/>
    <w:rsid w:val="0055700E"/>
    <w:rsid w:val="005620A0"/>
    <w:rsid w:val="00564E3D"/>
    <w:rsid w:val="00565FC3"/>
    <w:rsid w:val="0059164C"/>
    <w:rsid w:val="005A3030"/>
    <w:rsid w:val="005A416A"/>
    <w:rsid w:val="005C4880"/>
    <w:rsid w:val="005E3187"/>
    <w:rsid w:val="005E59B6"/>
    <w:rsid w:val="00607011"/>
    <w:rsid w:val="006151CB"/>
    <w:rsid w:val="0062315D"/>
    <w:rsid w:val="00647062"/>
    <w:rsid w:val="0065262D"/>
    <w:rsid w:val="00685027"/>
    <w:rsid w:val="00690C03"/>
    <w:rsid w:val="006A3594"/>
    <w:rsid w:val="006A51D8"/>
    <w:rsid w:val="006B0709"/>
    <w:rsid w:val="006B7207"/>
    <w:rsid w:val="006C2C33"/>
    <w:rsid w:val="006E3C13"/>
    <w:rsid w:val="006F5E81"/>
    <w:rsid w:val="006F60DE"/>
    <w:rsid w:val="00724C33"/>
    <w:rsid w:val="00756E5A"/>
    <w:rsid w:val="007578A4"/>
    <w:rsid w:val="00781A01"/>
    <w:rsid w:val="00782C22"/>
    <w:rsid w:val="0079320A"/>
    <w:rsid w:val="007A399C"/>
    <w:rsid w:val="007A74CE"/>
    <w:rsid w:val="007A7E7F"/>
    <w:rsid w:val="007B0281"/>
    <w:rsid w:val="007C025A"/>
    <w:rsid w:val="007C21DE"/>
    <w:rsid w:val="007D5613"/>
    <w:rsid w:val="007E268A"/>
    <w:rsid w:val="00825277"/>
    <w:rsid w:val="00846EE6"/>
    <w:rsid w:val="00861055"/>
    <w:rsid w:val="00861FD6"/>
    <w:rsid w:val="00872940"/>
    <w:rsid w:val="008A153D"/>
    <w:rsid w:val="008A512A"/>
    <w:rsid w:val="008A6C1E"/>
    <w:rsid w:val="008C51F5"/>
    <w:rsid w:val="008C5E9E"/>
    <w:rsid w:val="008D134E"/>
    <w:rsid w:val="008D5346"/>
    <w:rsid w:val="008D7725"/>
    <w:rsid w:val="008E0400"/>
    <w:rsid w:val="008E1369"/>
    <w:rsid w:val="008F26C8"/>
    <w:rsid w:val="009140A9"/>
    <w:rsid w:val="00927DB6"/>
    <w:rsid w:val="0093017F"/>
    <w:rsid w:val="0093156E"/>
    <w:rsid w:val="00936717"/>
    <w:rsid w:val="009B7C6C"/>
    <w:rsid w:val="009D56DE"/>
    <w:rsid w:val="009D7A5E"/>
    <w:rsid w:val="009E4C04"/>
    <w:rsid w:val="009E76B1"/>
    <w:rsid w:val="00A74BD5"/>
    <w:rsid w:val="00A76C33"/>
    <w:rsid w:val="00A83484"/>
    <w:rsid w:val="00AA79F6"/>
    <w:rsid w:val="00AC1B03"/>
    <w:rsid w:val="00AC6162"/>
    <w:rsid w:val="00AE3858"/>
    <w:rsid w:val="00B022B3"/>
    <w:rsid w:val="00B03F7F"/>
    <w:rsid w:val="00B73788"/>
    <w:rsid w:val="00B74BF9"/>
    <w:rsid w:val="00B86855"/>
    <w:rsid w:val="00B95C9C"/>
    <w:rsid w:val="00B964A3"/>
    <w:rsid w:val="00BA5E06"/>
    <w:rsid w:val="00BA6490"/>
    <w:rsid w:val="00BB4877"/>
    <w:rsid w:val="00BC5799"/>
    <w:rsid w:val="00BF616E"/>
    <w:rsid w:val="00C059F5"/>
    <w:rsid w:val="00C21755"/>
    <w:rsid w:val="00C37586"/>
    <w:rsid w:val="00C6342B"/>
    <w:rsid w:val="00C90A7A"/>
    <w:rsid w:val="00CC264C"/>
    <w:rsid w:val="00CD6766"/>
    <w:rsid w:val="00D15897"/>
    <w:rsid w:val="00D42600"/>
    <w:rsid w:val="00D44ACC"/>
    <w:rsid w:val="00D46D0A"/>
    <w:rsid w:val="00D6379D"/>
    <w:rsid w:val="00D75827"/>
    <w:rsid w:val="00D76DBF"/>
    <w:rsid w:val="00D838AE"/>
    <w:rsid w:val="00D9339B"/>
    <w:rsid w:val="00D9366A"/>
    <w:rsid w:val="00D944D1"/>
    <w:rsid w:val="00DA2043"/>
    <w:rsid w:val="00DC329B"/>
    <w:rsid w:val="00DD2DC7"/>
    <w:rsid w:val="00DD44D2"/>
    <w:rsid w:val="00DF3DB8"/>
    <w:rsid w:val="00DF7C1B"/>
    <w:rsid w:val="00E11827"/>
    <w:rsid w:val="00E1594E"/>
    <w:rsid w:val="00E53964"/>
    <w:rsid w:val="00E75D7D"/>
    <w:rsid w:val="00E957F1"/>
    <w:rsid w:val="00EC55F0"/>
    <w:rsid w:val="00EE0677"/>
    <w:rsid w:val="00F0234C"/>
    <w:rsid w:val="00F15AA8"/>
    <w:rsid w:val="00F15AB4"/>
    <w:rsid w:val="00F53BE7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35F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7372624"/>
  <w15:docId w15:val="{41F6B60A-C3BE-407F-AF16-2CCBF2D5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374F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BB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nsche\AppData\Local\Microsoft\Windows\Temporary%20Internet%20Files\Content.Outlook\J88PPNYK\Briefvorlage_LA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26B6-E87E-4976-925D-AC16A66D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Briefvorlage_LA_farbig.dotx</Template>
  <TotalTime>0</TotalTime>
  <Pages>3</Pages>
  <Words>751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5117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Seinsche, Steffen (LSA FFM)</dc:creator>
  <cp:lastModifiedBy>Seinsche, Steffen (LA FFM)</cp:lastModifiedBy>
  <cp:revision>4</cp:revision>
  <cp:lastPrinted>2019-05-21T07:06:00Z</cp:lastPrinted>
  <dcterms:created xsi:type="dcterms:W3CDTF">2020-06-29T08:46:00Z</dcterms:created>
  <dcterms:modified xsi:type="dcterms:W3CDTF">2020-06-30T05:52:00Z</dcterms:modified>
</cp:coreProperties>
</file>